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1757E" w14:textId="77777777" w:rsidR="00462D3F" w:rsidRDefault="007416CC">
      <w:pPr>
        <w:spacing w:after="0" w:line="259" w:lineRule="auto"/>
        <w:ind w:left="29" w:hanging="10"/>
        <w:jc w:val="center"/>
      </w:pPr>
      <w:r>
        <w:rPr>
          <w:b/>
        </w:rPr>
        <w:t xml:space="preserve">Section 1135 Waiver COVID-19 </w:t>
      </w:r>
    </w:p>
    <w:p w14:paraId="0ED53460" w14:textId="77777777" w:rsidR="00462D3F" w:rsidRDefault="007416CC">
      <w:pPr>
        <w:spacing w:after="0" w:line="259" w:lineRule="auto"/>
        <w:ind w:left="29" w:right="1" w:hanging="10"/>
        <w:jc w:val="center"/>
      </w:pPr>
      <w:r>
        <w:rPr>
          <w:b/>
        </w:rPr>
        <w:t xml:space="preserve">State/Territory Request Template </w:t>
      </w:r>
    </w:p>
    <w:p w14:paraId="2446F2EF" w14:textId="77777777" w:rsidR="00462D3F" w:rsidRDefault="007416CC">
      <w:pPr>
        <w:spacing w:after="0" w:line="259" w:lineRule="auto"/>
        <w:ind w:left="2" w:firstLine="0"/>
      </w:pPr>
      <w:r>
        <w:rPr>
          <w:b/>
        </w:rPr>
        <w:t xml:space="preserve"> </w:t>
      </w:r>
    </w:p>
    <w:p w14:paraId="50E28D2B" w14:textId="77777777" w:rsidR="00462D3F" w:rsidRDefault="007416CC">
      <w:pPr>
        <w:spacing w:after="0" w:line="259" w:lineRule="auto"/>
        <w:ind w:left="2" w:firstLine="0"/>
      </w:pPr>
      <w:r>
        <w:rPr>
          <w:b/>
        </w:rPr>
        <w:t xml:space="preserve"> </w:t>
      </w:r>
    </w:p>
    <w:p w14:paraId="1E4E9C5D" w14:textId="77777777" w:rsidR="00462D3F" w:rsidRDefault="007416CC">
      <w:pPr>
        <w:spacing w:after="0" w:line="259" w:lineRule="auto"/>
        <w:ind w:left="2" w:firstLine="0"/>
      </w:pPr>
      <w:r>
        <w:rPr>
          <w:b/>
          <w:u w:val="single" w:color="000000"/>
        </w:rPr>
        <w:t>Introduction</w:t>
      </w:r>
      <w:r>
        <w:rPr>
          <w:b/>
        </w:rPr>
        <w:t xml:space="preserve"> </w:t>
      </w:r>
    </w:p>
    <w:p w14:paraId="48D16B49" w14:textId="77777777" w:rsidR="00462D3F" w:rsidRDefault="007416CC">
      <w:pPr>
        <w:spacing w:after="0" w:line="259" w:lineRule="auto"/>
        <w:ind w:left="2" w:firstLine="0"/>
      </w:pPr>
      <w:r>
        <w:rPr>
          <w:b/>
        </w:rPr>
        <w:t xml:space="preserve"> </w:t>
      </w:r>
    </w:p>
    <w:p w14:paraId="250D9EA5" w14:textId="37FBACDE" w:rsidR="00462D3F" w:rsidRDefault="007416CC">
      <w:pPr>
        <w:spacing w:after="0" w:line="239" w:lineRule="auto"/>
        <w:ind w:left="2" w:firstLine="0"/>
      </w:pPr>
      <w:r>
        <w:rPr>
          <w:color w:val="0C0C0C"/>
        </w:rPr>
        <w:t xml:space="preserve">On March 13, 2020, the President of the United States issued a proclamation that the COVID-19 outbreak in the United States constitutes a national emergency by the authorities vested in him by the Constitution and the laws of the United States, including sections 201 and 301 of the National Emergencies Act (50 U.S.C. 1601 </w:t>
      </w:r>
      <w:r>
        <w:rPr>
          <w:i/>
          <w:color w:val="0C0C0C"/>
        </w:rPr>
        <w:t>et seq</w:t>
      </w:r>
      <w:r>
        <w:rPr>
          <w:color w:val="0C0C0C"/>
        </w:rPr>
        <w:t>.), and consistent with section 1135 of the Social Securi</w:t>
      </w:r>
      <w:r w:rsidR="00195F13">
        <w:rPr>
          <w:color w:val="0C0C0C"/>
        </w:rPr>
        <w:t>ty Act (Act). On the same day,</w:t>
      </w:r>
      <w:r>
        <w:rPr>
          <w:color w:val="0C0C0C"/>
        </w:rPr>
        <w:t xml:space="preserve"> pursuant to section 1135 of the Act, the Secretary of the United States Department of Health and Human Services </w:t>
      </w:r>
      <w:r w:rsidR="00F22ACF">
        <w:rPr>
          <w:color w:val="0C0C0C"/>
        </w:rPr>
        <w:t>invoked</w:t>
      </w:r>
      <w:r w:rsidR="00195F13">
        <w:rPr>
          <w:color w:val="0C0C0C"/>
        </w:rPr>
        <w:t xml:space="preserve"> his</w:t>
      </w:r>
      <w:r w:rsidR="00F807F9">
        <w:rPr>
          <w:color w:val="0C0C0C"/>
        </w:rPr>
        <w:t xml:space="preserve"> authority to </w:t>
      </w:r>
      <w:r>
        <w:rPr>
          <w:color w:val="0C0C0C"/>
        </w:rPr>
        <w:t>waive or modif</w:t>
      </w:r>
      <w:r w:rsidR="00F807F9">
        <w:rPr>
          <w:color w:val="0C0C0C"/>
        </w:rPr>
        <w:t>y</w:t>
      </w:r>
      <w:r>
        <w:rPr>
          <w:color w:val="0C0C0C"/>
        </w:rPr>
        <w:t xml:space="preserve"> certain requirements of titles XVIII, XIX, and XXI of the Act to mitigate the consequences of the COVID-19 pandemic</w:t>
      </w:r>
      <w:r w:rsidR="007D16E7">
        <w:rPr>
          <w:color w:val="0C0C0C"/>
        </w:rPr>
        <w:t>,</w:t>
      </w:r>
      <w:r w:rsidR="00FB53E2">
        <w:rPr>
          <w:color w:val="0C0C0C"/>
        </w:rPr>
        <w:t xml:space="preserve"> to the extent necessary, as determined by the Centers for Medicare &amp; Medicaid Services (CMS), to ensure that sufficient health care items and services are available to meet the needs of individuals enrolled in the respective programs and to ensure that health care providers that furnish such items and services in good faith, but are unable to comply with one or more of such requirements as a result of the COVID-19 pandemic, may be reimbursed for such items and services and exempted from sanctions for such noncompliance, absent any determination of fraud or abuse.</w:t>
      </w:r>
      <w:r w:rsidR="007D16E7">
        <w:rPr>
          <w:color w:val="0C0C0C"/>
        </w:rPr>
        <w:t xml:space="preserve"> </w:t>
      </w:r>
      <w:r w:rsidR="00F807F9">
        <w:rPr>
          <w:color w:val="0C0C0C"/>
        </w:rPr>
        <w:t>This authority took</w:t>
      </w:r>
      <w:r>
        <w:rPr>
          <w:color w:val="0C0C0C"/>
        </w:rPr>
        <w:t xml:space="preserve"> effect as of 6PM Eastern Daylight Time on March 15, 2020, with a retroactive effective date of March 1, 2020. </w:t>
      </w:r>
      <w:r w:rsidR="00E048A3">
        <w:t>The emergency period will terminate, and waivers will no longer be available, upon termination of the public health emergency</w:t>
      </w:r>
      <w:r w:rsidR="00D64AB2">
        <w:t>, including any extensions</w:t>
      </w:r>
      <w:r w:rsidR="00E048A3">
        <w:t>. </w:t>
      </w:r>
    </w:p>
    <w:p w14:paraId="168BF297" w14:textId="77777777" w:rsidR="00462D3F" w:rsidRDefault="007416CC">
      <w:pPr>
        <w:spacing w:after="0" w:line="259" w:lineRule="auto"/>
        <w:ind w:left="2" w:firstLine="0"/>
      </w:pPr>
      <w:r>
        <w:t xml:space="preserve"> </w:t>
      </w:r>
    </w:p>
    <w:p w14:paraId="11E64BBF" w14:textId="4D239923" w:rsidR="00462D3F" w:rsidRDefault="007416CC">
      <w:pPr>
        <w:ind w:left="2" w:firstLine="0"/>
      </w:pPr>
      <w:r>
        <w:t xml:space="preserve">States/territories can request approval </w:t>
      </w:r>
      <w:r w:rsidR="0008319B">
        <w:t xml:space="preserve">that certain statutes and implementing regulations be waived by CMS, pursuant to </w:t>
      </w:r>
      <w:r>
        <w:t>section 1135</w:t>
      </w:r>
      <w:r w:rsidR="0008319B">
        <w:t xml:space="preserve"> of the Act</w:t>
      </w:r>
      <w:r>
        <w:t xml:space="preserve">.  The following list includes some of the </w:t>
      </w:r>
      <w:r w:rsidR="00F807F9">
        <w:t xml:space="preserve">temporary </w:t>
      </w:r>
      <w:r w:rsidR="00CA7979">
        <w:t>flexibilities available to</w:t>
      </w:r>
      <w:r w:rsidR="0008319B">
        <w:t xml:space="preserve"> CMS</w:t>
      </w:r>
      <w:r>
        <w:t xml:space="preserve"> under section 1135</w:t>
      </w:r>
      <w:r w:rsidR="00CC3B67">
        <w:t xml:space="preserve"> of the Act</w:t>
      </w:r>
      <w:r>
        <w:t xml:space="preserve">. Please check the box on the flexibilities that the state/territory is requesting. Please include any additional flexibilities that the state/territory is requesting under the section 1135 waiver authority under </w:t>
      </w:r>
      <w:r w:rsidR="00F807F9">
        <w:t>“</w:t>
      </w:r>
      <w:r>
        <w:t>Number 6 – Other Section 1135 Waiver Flexibilities</w:t>
      </w:r>
      <w:r w:rsidR="00F807F9">
        <w:t>”</w:t>
      </w:r>
      <w:r>
        <w:t xml:space="preserve">. </w:t>
      </w:r>
    </w:p>
    <w:p w14:paraId="4AF49D67" w14:textId="77777777" w:rsidR="00462D3F" w:rsidRDefault="007416CC">
      <w:pPr>
        <w:spacing w:after="0" w:line="259" w:lineRule="auto"/>
        <w:ind w:left="2" w:firstLine="0"/>
      </w:pPr>
      <w:r>
        <w:t xml:space="preserve"> </w:t>
      </w:r>
    </w:p>
    <w:p w14:paraId="2547490B" w14:textId="3EF4E07F" w:rsidR="00462D3F" w:rsidRDefault="007416CC">
      <w:pPr>
        <w:ind w:left="2" w:firstLine="0"/>
      </w:pPr>
      <w:r>
        <w:t xml:space="preserve">Please complete the following fields: </w:t>
      </w:r>
    </w:p>
    <w:p w14:paraId="3AC9EF8E" w14:textId="77777777" w:rsidR="00462D3F" w:rsidRDefault="007416CC">
      <w:pPr>
        <w:spacing w:after="0" w:line="259" w:lineRule="auto"/>
        <w:ind w:left="2" w:firstLine="0"/>
      </w:pPr>
      <w:r>
        <w:t xml:space="preserve"> </w:t>
      </w:r>
    </w:p>
    <w:p w14:paraId="4B7EA72B" w14:textId="773C0C5E" w:rsidR="00FB53E2" w:rsidRDefault="007416CC" w:rsidP="00CC3B67">
      <w:pPr>
        <w:spacing w:after="0" w:line="259" w:lineRule="auto"/>
        <w:ind w:left="2" w:firstLine="0"/>
      </w:pPr>
      <w:r>
        <w:t xml:space="preserve"> </w:t>
      </w:r>
    </w:p>
    <w:p w14:paraId="1790DDF4" w14:textId="77777777" w:rsidR="00462D3F" w:rsidRDefault="007416CC">
      <w:pPr>
        <w:spacing w:after="3" w:line="259" w:lineRule="auto"/>
        <w:ind w:left="-3" w:hanging="10"/>
      </w:pPr>
      <w:r>
        <w:rPr>
          <w:b/>
        </w:rPr>
        <w:t xml:space="preserve">State/Territory Name: </w:t>
      </w:r>
    </w:p>
    <w:p w14:paraId="2B9F8A45" w14:textId="77777777" w:rsidR="00462D3F" w:rsidRDefault="007416CC">
      <w:pPr>
        <w:spacing w:after="0" w:line="259" w:lineRule="auto"/>
        <w:ind w:left="2" w:firstLine="0"/>
      </w:pPr>
      <w:r>
        <w:rPr>
          <w:b/>
        </w:rPr>
        <w:t xml:space="preserve"> </w:t>
      </w:r>
    </w:p>
    <w:p w14:paraId="22884E7D" w14:textId="1F924539" w:rsidR="00462D3F" w:rsidRDefault="007416CC">
      <w:pPr>
        <w:spacing w:after="3" w:line="259" w:lineRule="auto"/>
        <w:ind w:left="-3" w:hanging="10"/>
        <w:rPr>
          <w:b/>
        </w:rPr>
      </w:pPr>
      <w:r>
        <w:rPr>
          <w:b/>
        </w:rPr>
        <w:t xml:space="preserve">Contact Name: </w:t>
      </w:r>
    </w:p>
    <w:p w14:paraId="497658A0" w14:textId="757CA31E" w:rsidR="003B72F2" w:rsidRDefault="003B72F2">
      <w:pPr>
        <w:spacing w:after="3" w:line="259" w:lineRule="auto"/>
        <w:ind w:left="-3" w:hanging="10"/>
        <w:rPr>
          <w:b/>
        </w:rPr>
      </w:pPr>
    </w:p>
    <w:p w14:paraId="498ABB32" w14:textId="55B628CB" w:rsidR="003B72F2" w:rsidRPr="004F3D8A" w:rsidRDefault="003B72F2">
      <w:pPr>
        <w:spacing w:after="3" w:line="259" w:lineRule="auto"/>
        <w:ind w:left="-3" w:hanging="10"/>
      </w:pPr>
      <w:r w:rsidRPr="004F3D8A">
        <w:rPr>
          <w:b/>
        </w:rPr>
        <w:t>Contact Title and Agency:</w:t>
      </w:r>
    </w:p>
    <w:p w14:paraId="6237C795" w14:textId="77777777" w:rsidR="00462D3F" w:rsidRDefault="007416CC">
      <w:pPr>
        <w:spacing w:after="0" w:line="259" w:lineRule="auto"/>
        <w:ind w:left="2" w:firstLine="0"/>
      </w:pPr>
      <w:r>
        <w:rPr>
          <w:b/>
        </w:rPr>
        <w:t xml:space="preserve"> </w:t>
      </w:r>
    </w:p>
    <w:p w14:paraId="10F0857C" w14:textId="77777777" w:rsidR="00462D3F" w:rsidRDefault="007416CC">
      <w:pPr>
        <w:spacing w:after="3" w:line="259" w:lineRule="auto"/>
        <w:ind w:left="-3" w:hanging="10"/>
      </w:pPr>
      <w:r>
        <w:rPr>
          <w:b/>
        </w:rPr>
        <w:t xml:space="preserve">Email: </w:t>
      </w:r>
    </w:p>
    <w:p w14:paraId="763D9E2A" w14:textId="77777777" w:rsidR="00462D3F" w:rsidRDefault="007416CC">
      <w:pPr>
        <w:spacing w:after="0" w:line="259" w:lineRule="auto"/>
        <w:ind w:left="2" w:firstLine="0"/>
      </w:pPr>
      <w:r>
        <w:rPr>
          <w:b/>
        </w:rPr>
        <w:t xml:space="preserve"> </w:t>
      </w:r>
    </w:p>
    <w:p w14:paraId="34E9B356" w14:textId="77777777" w:rsidR="00462D3F" w:rsidRDefault="007416CC">
      <w:pPr>
        <w:spacing w:after="3" w:line="259" w:lineRule="auto"/>
        <w:ind w:left="-3" w:hanging="10"/>
      </w:pPr>
      <w:r>
        <w:rPr>
          <w:b/>
        </w:rPr>
        <w:t xml:space="preserve">Phone: </w:t>
      </w:r>
    </w:p>
    <w:p w14:paraId="0491AA4F" w14:textId="77777777" w:rsidR="00462D3F" w:rsidRDefault="007416CC">
      <w:pPr>
        <w:spacing w:after="0" w:line="259" w:lineRule="auto"/>
        <w:ind w:left="2" w:firstLine="0"/>
      </w:pPr>
      <w:r>
        <w:rPr>
          <w:b/>
        </w:rPr>
        <w:t xml:space="preserve"> </w:t>
      </w:r>
    </w:p>
    <w:p w14:paraId="633F57C9" w14:textId="77777777" w:rsidR="00462D3F" w:rsidRDefault="007416CC">
      <w:pPr>
        <w:spacing w:after="3" w:line="259" w:lineRule="auto"/>
        <w:ind w:left="-3" w:hanging="10"/>
      </w:pPr>
      <w:r>
        <w:rPr>
          <w:b/>
        </w:rPr>
        <w:t xml:space="preserve">Date Submitted: </w:t>
      </w:r>
    </w:p>
    <w:p w14:paraId="1017B7FA" w14:textId="77777777" w:rsidR="00462D3F" w:rsidRDefault="007416CC">
      <w:pPr>
        <w:spacing w:after="0" w:line="259" w:lineRule="auto"/>
        <w:ind w:left="2" w:firstLine="0"/>
      </w:pPr>
      <w:r>
        <w:t xml:space="preserve"> </w:t>
      </w:r>
      <w:r>
        <w:tab/>
        <w:t xml:space="preserve"> </w:t>
      </w:r>
    </w:p>
    <w:p w14:paraId="78BE54EF" w14:textId="77777777" w:rsidR="00C36058" w:rsidRDefault="00C36058">
      <w:pPr>
        <w:spacing w:after="160" w:line="259" w:lineRule="auto"/>
        <w:ind w:left="0" w:firstLine="0"/>
        <w:rPr>
          <w:b/>
        </w:rPr>
      </w:pPr>
      <w:r>
        <w:rPr>
          <w:b/>
        </w:rPr>
        <w:br w:type="page"/>
      </w:r>
    </w:p>
    <w:p w14:paraId="78F9B241" w14:textId="06AEBE11" w:rsidR="00462D3F" w:rsidRDefault="007416CC">
      <w:pPr>
        <w:numPr>
          <w:ilvl w:val="0"/>
          <w:numId w:val="1"/>
        </w:numPr>
        <w:spacing w:after="3" w:line="259" w:lineRule="auto"/>
        <w:ind w:hanging="360"/>
      </w:pPr>
      <w:r>
        <w:rPr>
          <w:b/>
        </w:rPr>
        <w:lastRenderedPageBreak/>
        <w:t xml:space="preserve">Medicaid Authorizations: </w:t>
      </w:r>
    </w:p>
    <w:p w14:paraId="1E386FE9" w14:textId="77777777" w:rsidR="00462D3F" w:rsidRDefault="007416CC">
      <w:pPr>
        <w:spacing w:after="68" w:line="259" w:lineRule="auto"/>
        <w:ind w:left="2" w:firstLine="0"/>
      </w:pPr>
      <w:r>
        <w:rPr>
          <w:b/>
        </w:rPr>
        <w:t xml:space="preserve"> </w:t>
      </w:r>
    </w:p>
    <w:p w14:paraId="762A00B4" w14:textId="52441DE8" w:rsidR="00462D3F" w:rsidRDefault="007416CC">
      <w:pPr>
        <w:tabs>
          <w:tab w:val="center" w:pos="577"/>
          <w:tab w:val="center" w:pos="4786"/>
        </w:tabs>
        <w:ind w:left="0" w:firstLine="0"/>
      </w:pPr>
      <w:r>
        <w:tab/>
      </w:r>
      <w:r w:rsidR="0065544E">
        <w:t xml:space="preserve">         </w:t>
      </w:r>
      <w:sdt>
        <w:sdtPr>
          <w:id w:val="-1779937779"/>
          <w14:checkbox>
            <w14:checked w14:val="0"/>
            <w14:checkedState w14:val="2612" w14:font="MS Gothic"/>
            <w14:uncheckedState w14:val="2610" w14:font="MS Gothic"/>
          </w14:checkbox>
        </w:sdtPr>
        <w:sdtContent>
          <w:r w:rsidR="00025B81">
            <w:rPr>
              <w:rFonts w:ascii="MS Gothic" w:eastAsia="MS Gothic" w:hAnsi="MS Gothic" w:hint="eastAsia"/>
            </w:rPr>
            <w:t>☐</w:t>
          </w:r>
        </w:sdtContent>
      </w:sdt>
      <w:r>
        <w:rPr>
          <w:rFonts w:ascii="Arial" w:eastAsia="Arial" w:hAnsi="Arial" w:cs="Arial"/>
        </w:rPr>
        <w:t xml:space="preserve"> </w:t>
      </w:r>
      <w:r w:rsidR="0065544E">
        <w:rPr>
          <w:rFonts w:ascii="Arial" w:eastAsia="Arial" w:hAnsi="Arial" w:cs="Arial"/>
        </w:rPr>
        <w:t xml:space="preserve">        </w:t>
      </w:r>
      <w:r w:rsidR="00C36058">
        <w:t>S</w:t>
      </w:r>
      <w:r>
        <w:t xml:space="preserve">uspend Medicaid fee-for-service prior authorization requirements. </w:t>
      </w:r>
    </w:p>
    <w:p w14:paraId="4469E909" w14:textId="77777777" w:rsidR="00462D3F" w:rsidRDefault="007416CC">
      <w:pPr>
        <w:spacing w:after="184"/>
        <w:ind w:left="1202" w:firstLine="0"/>
      </w:pPr>
      <w:r>
        <w:t>Section 1135(b</w:t>
      </w:r>
      <w:proofErr w:type="gramStart"/>
      <w:r>
        <w:t>)(</w:t>
      </w:r>
      <w:proofErr w:type="gramEnd"/>
      <w:r>
        <w:t>1)(C) allows for a waiver or modification of pre-approval requirements if prior authorization processes are outlined in detail in the State Plan for particular benefits</w:t>
      </w:r>
      <w:r>
        <w:rPr>
          <w:rFonts w:ascii="MS Gothic" w:eastAsia="MS Gothic" w:hAnsi="MS Gothic" w:cs="MS Gothic"/>
        </w:rPr>
        <w:t xml:space="preserve"> </w:t>
      </w:r>
    </w:p>
    <w:p w14:paraId="2E1DCA9F" w14:textId="270FEDBC" w:rsidR="00462D3F" w:rsidRDefault="00025B81">
      <w:pPr>
        <w:ind w:left="1197"/>
      </w:pPr>
      <w:sdt>
        <w:sdtPr>
          <w:rPr>
            <w:rFonts w:ascii="Arial" w:eastAsia="Arial" w:hAnsi="Arial" w:cs="Arial"/>
          </w:rPr>
          <w:id w:val="16581793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65544E">
        <w:rPr>
          <w:rFonts w:ascii="Arial" w:eastAsia="Arial" w:hAnsi="Arial" w:cs="Arial"/>
        </w:rPr>
        <w:tab/>
      </w:r>
      <w:r w:rsidR="0065544E">
        <w:t>Require</w:t>
      </w:r>
      <w:r w:rsidR="007416CC">
        <w:t xml:space="preserve"> fee-for-service providers to extend </w:t>
      </w:r>
      <w:r w:rsidR="0075088F">
        <w:t xml:space="preserve">pre-existing </w:t>
      </w:r>
      <w:r w:rsidR="007416CC">
        <w:t xml:space="preserve">authorizations through </w:t>
      </w:r>
      <w:r w:rsidR="0075088F">
        <w:t xml:space="preserve">which a beneficiary has previously received prior authorization through </w:t>
      </w:r>
      <w:r w:rsidR="007416CC">
        <w:t xml:space="preserve">the termination of the emergency declaration </w:t>
      </w:r>
    </w:p>
    <w:p w14:paraId="47F3131F" w14:textId="77777777" w:rsidR="00462D3F" w:rsidRDefault="007416CC">
      <w:pPr>
        <w:spacing w:after="0" w:line="259" w:lineRule="auto"/>
        <w:ind w:left="1" w:firstLine="0"/>
      </w:pPr>
      <w:r>
        <w:t xml:space="preserve"> </w:t>
      </w:r>
    </w:p>
    <w:p w14:paraId="5331728A" w14:textId="77777777" w:rsidR="00462D3F" w:rsidRDefault="007416CC">
      <w:pPr>
        <w:spacing w:after="44" w:line="259" w:lineRule="auto"/>
        <w:ind w:left="1" w:firstLine="0"/>
      </w:pPr>
      <w:r>
        <w:t xml:space="preserve"> </w:t>
      </w:r>
    </w:p>
    <w:p w14:paraId="2B03EFA7" w14:textId="77777777" w:rsidR="00462D3F" w:rsidRDefault="007416CC">
      <w:pPr>
        <w:numPr>
          <w:ilvl w:val="0"/>
          <w:numId w:val="1"/>
        </w:numPr>
        <w:spacing w:after="3" w:line="259" w:lineRule="auto"/>
        <w:ind w:hanging="360"/>
      </w:pPr>
      <w:r>
        <w:rPr>
          <w:b/>
        </w:rPr>
        <w:t xml:space="preserve">Long Term Services and Supports </w:t>
      </w:r>
    </w:p>
    <w:p w14:paraId="510D9323" w14:textId="77777777" w:rsidR="00462D3F" w:rsidRDefault="007416CC">
      <w:pPr>
        <w:spacing w:after="70" w:line="259" w:lineRule="auto"/>
        <w:ind w:left="1" w:firstLine="0"/>
      </w:pPr>
      <w:r>
        <w:rPr>
          <w:b/>
        </w:rPr>
        <w:t xml:space="preserve"> </w:t>
      </w:r>
    </w:p>
    <w:p w14:paraId="10D28BC5" w14:textId="5716DBD4" w:rsidR="00462D3F" w:rsidRDefault="00025B81">
      <w:pPr>
        <w:spacing w:after="201"/>
        <w:ind w:left="1197"/>
      </w:pPr>
      <w:sdt>
        <w:sdtPr>
          <w:rPr>
            <w:rFonts w:ascii="Arial" w:eastAsia="Arial" w:hAnsi="Arial" w:cs="Arial"/>
          </w:rPr>
          <w:id w:val="18309503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7416CC">
        <w:rPr>
          <w:rFonts w:ascii="Arial" w:eastAsia="Arial" w:hAnsi="Arial" w:cs="Arial"/>
        </w:rPr>
        <w:tab/>
      </w:r>
      <w:r w:rsidR="0065544E">
        <w:t>S</w:t>
      </w:r>
      <w:r w:rsidR="007416CC">
        <w:t xml:space="preserve">uspend pre-admission screening and annual resident review (PASRR) Level I and Level II Assessments for 30 days </w:t>
      </w:r>
    </w:p>
    <w:p w14:paraId="7848C72D" w14:textId="6607BA3F" w:rsidR="00462D3F" w:rsidRDefault="00025B81">
      <w:pPr>
        <w:ind w:left="1197"/>
      </w:pPr>
      <w:sdt>
        <w:sdtPr>
          <w:rPr>
            <w:rFonts w:ascii="Arial" w:eastAsia="Arial" w:hAnsi="Arial" w:cs="Arial"/>
          </w:rPr>
          <w:id w:val="9858276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7416CC">
        <w:rPr>
          <w:rFonts w:ascii="Arial" w:eastAsia="Arial" w:hAnsi="Arial" w:cs="Arial"/>
        </w:rPr>
        <w:tab/>
      </w:r>
      <w:r w:rsidR="007416CC">
        <w:t xml:space="preserve">Extend minimum data set authorizations for nursing facility and skilled nursing facility (SNF) residents </w:t>
      </w:r>
    </w:p>
    <w:p w14:paraId="1B0DF58C" w14:textId="77777777" w:rsidR="00462D3F" w:rsidRDefault="007416CC">
      <w:pPr>
        <w:spacing w:after="0" w:line="259" w:lineRule="auto"/>
        <w:ind w:left="1" w:firstLine="0"/>
      </w:pPr>
      <w:r>
        <w:t xml:space="preserve"> </w:t>
      </w:r>
    </w:p>
    <w:p w14:paraId="0191BA6E" w14:textId="77777777" w:rsidR="00462D3F" w:rsidRDefault="007416CC">
      <w:pPr>
        <w:spacing w:after="42" w:line="259" w:lineRule="auto"/>
        <w:ind w:left="1" w:firstLine="0"/>
      </w:pPr>
      <w:r>
        <w:t xml:space="preserve"> </w:t>
      </w:r>
    </w:p>
    <w:p w14:paraId="4EA9B4C6" w14:textId="77777777" w:rsidR="00462D3F" w:rsidRDefault="007416CC">
      <w:pPr>
        <w:numPr>
          <w:ilvl w:val="0"/>
          <w:numId w:val="1"/>
        </w:numPr>
        <w:spacing w:after="3" w:line="259" w:lineRule="auto"/>
        <w:ind w:hanging="360"/>
      </w:pPr>
      <w:r>
        <w:rPr>
          <w:b/>
        </w:rPr>
        <w:t xml:space="preserve">Fair Hearings </w:t>
      </w:r>
    </w:p>
    <w:p w14:paraId="5F88ED37" w14:textId="77777777" w:rsidR="00462D3F" w:rsidRDefault="007416CC">
      <w:pPr>
        <w:spacing w:after="70" w:line="259" w:lineRule="auto"/>
        <w:ind w:left="0" w:firstLine="0"/>
      </w:pPr>
      <w:r>
        <w:rPr>
          <w:b/>
        </w:rPr>
        <w:t xml:space="preserve"> </w:t>
      </w:r>
    </w:p>
    <w:p w14:paraId="230141C1" w14:textId="6CC20809" w:rsidR="00462D3F" w:rsidRPr="0065544E" w:rsidRDefault="00025B81">
      <w:pPr>
        <w:spacing w:after="202"/>
        <w:ind w:left="1197"/>
        <w:rPr>
          <w:rFonts w:asciiTheme="minorHAnsi" w:hAnsiTheme="minorHAnsi"/>
        </w:rPr>
      </w:pPr>
      <w:sdt>
        <w:sdtPr>
          <w:rPr>
            <w:rFonts w:ascii="Arial" w:eastAsia="Arial" w:hAnsi="Arial" w:cs="Arial"/>
          </w:rPr>
          <w:id w:val="-80199576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7416CC">
        <w:rPr>
          <w:rFonts w:ascii="Arial" w:eastAsia="Arial" w:hAnsi="Arial" w:cs="Arial"/>
        </w:rPr>
        <w:t xml:space="preserve"> </w:t>
      </w:r>
      <w:r w:rsidR="007416CC">
        <w:rPr>
          <w:rFonts w:ascii="Arial" w:eastAsia="Arial" w:hAnsi="Arial" w:cs="Arial"/>
        </w:rPr>
        <w:tab/>
      </w:r>
      <w:r w:rsidR="0065544E">
        <w:t>Allow</w:t>
      </w:r>
      <w:r w:rsidR="007416CC">
        <w:t xml:space="preserve"> managed care enrollees to proceed almost immediately to a state fair hearing without having a managed care plan resolve the appeal first by permitting the state to modify the </w:t>
      </w:r>
      <w:r w:rsidR="007416CC" w:rsidRPr="0065544E">
        <w:rPr>
          <w:rFonts w:asciiTheme="minorHAnsi" w:hAnsiTheme="minorHAnsi"/>
        </w:rPr>
        <w:t xml:space="preserve">timeline for managed care plans to resolve appeals to one day so the impacted appeals satisfy the exhaustion requirements </w:t>
      </w:r>
    </w:p>
    <w:p w14:paraId="02445CBD" w14:textId="55B58ED0" w:rsidR="00462D3F" w:rsidRPr="0065544E" w:rsidRDefault="00025B81">
      <w:pPr>
        <w:ind w:left="1197"/>
        <w:rPr>
          <w:rFonts w:asciiTheme="minorHAnsi" w:hAnsiTheme="minorHAnsi"/>
        </w:rPr>
      </w:pPr>
      <w:sdt>
        <w:sdtPr>
          <w:rPr>
            <w:rFonts w:asciiTheme="minorHAnsi" w:eastAsia="Arial" w:hAnsiTheme="minorHAnsi" w:cs="Arial"/>
          </w:rPr>
          <w:id w:val="18262412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7416CC" w:rsidRPr="00EE697B">
        <w:rPr>
          <w:rFonts w:asciiTheme="minorHAnsi" w:eastAsia="Arial" w:hAnsiTheme="minorHAnsi" w:cs="Arial"/>
          <w:sz w:val="36"/>
          <w:szCs w:val="36"/>
        </w:rPr>
        <w:t xml:space="preserve"> </w:t>
      </w:r>
      <w:r w:rsidR="007416CC" w:rsidRPr="0065544E">
        <w:rPr>
          <w:rFonts w:asciiTheme="minorHAnsi" w:eastAsia="Arial" w:hAnsiTheme="minorHAnsi" w:cs="Arial"/>
        </w:rPr>
        <w:tab/>
      </w:r>
      <w:r w:rsidR="007416CC" w:rsidRPr="0065544E">
        <w:rPr>
          <w:rFonts w:asciiTheme="minorHAnsi" w:hAnsiTheme="minorHAnsi"/>
        </w:rPr>
        <w:t xml:space="preserve">Give enrollees more than 120 days (if a managed care appeal) or more than 90 days (if an eligibility for fee-for-service appeal) to request a state fair hearing </w:t>
      </w:r>
      <w:r w:rsidR="0075088F" w:rsidRPr="0065544E">
        <w:rPr>
          <w:rFonts w:asciiTheme="minorHAnsi" w:hAnsiTheme="minorHAnsi"/>
        </w:rPr>
        <w:t xml:space="preserve">by permitting extensions of the deadline for filing those appeals by a set number of days (e.g., an additional 120 days)  </w:t>
      </w:r>
    </w:p>
    <w:p w14:paraId="13A6670D" w14:textId="77777777" w:rsidR="00462D3F" w:rsidRPr="0065544E" w:rsidRDefault="007416CC">
      <w:pPr>
        <w:spacing w:after="0" w:line="259" w:lineRule="auto"/>
        <w:ind w:left="0" w:firstLine="0"/>
        <w:rPr>
          <w:rFonts w:asciiTheme="minorHAnsi" w:hAnsiTheme="minorHAnsi"/>
        </w:rPr>
      </w:pPr>
      <w:r w:rsidRPr="0065544E">
        <w:rPr>
          <w:rFonts w:asciiTheme="minorHAnsi" w:hAnsiTheme="minorHAnsi"/>
        </w:rPr>
        <w:t xml:space="preserve"> </w:t>
      </w:r>
    </w:p>
    <w:p w14:paraId="71CC0D87" w14:textId="77777777" w:rsidR="00462D3F" w:rsidRPr="0065544E" w:rsidRDefault="007416CC">
      <w:pPr>
        <w:spacing w:after="41" w:line="259" w:lineRule="auto"/>
        <w:ind w:left="0" w:firstLine="0"/>
        <w:rPr>
          <w:rFonts w:asciiTheme="minorHAnsi" w:hAnsiTheme="minorHAnsi"/>
        </w:rPr>
      </w:pPr>
      <w:r w:rsidRPr="0065544E">
        <w:rPr>
          <w:rFonts w:asciiTheme="minorHAnsi" w:hAnsiTheme="minorHAnsi"/>
        </w:rPr>
        <w:t xml:space="preserve"> </w:t>
      </w:r>
    </w:p>
    <w:p w14:paraId="3C2FE08A" w14:textId="77777777" w:rsidR="00462D3F" w:rsidRPr="0065544E" w:rsidRDefault="007416CC">
      <w:pPr>
        <w:numPr>
          <w:ilvl w:val="0"/>
          <w:numId w:val="1"/>
        </w:numPr>
        <w:spacing w:after="3" w:line="259" w:lineRule="auto"/>
        <w:ind w:hanging="360"/>
        <w:rPr>
          <w:rFonts w:asciiTheme="minorHAnsi" w:hAnsiTheme="minorHAnsi"/>
        </w:rPr>
      </w:pPr>
      <w:r w:rsidRPr="0065544E">
        <w:rPr>
          <w:rFonts w:asciiTheme="minorHAnsi" w:hAnsiTheme="minorHAnsi"/>
          <w:b/>
        </w:rPr>
        <w:t xml:space="preserve">Provider Enrollment </w:t>
      </w:r>
    </w:p>
    <w:p w14:paraId="13C5E893" w14:textId="77777777" w:rsidR="00462D3F" w:rsidRPr="0065544E" w:rsidRDefault="007416CC">
      <w:pPr>
        <w:spacing w:after="70" w:line="259" w:lineRule="auto"/>
        <w:ind w:left="0" w:firstLine="0"/>
        <w:rPr>
          <w:rFonts w:asciiTheme="minorHAnsi" w:hAnsiTheme="minorHAnsi"/>
          <w:b/>
        </w:rPr>
      </w:pPr>
      <w:r w:rsidRPr="0065544E">
        <w:rPr>
          <w:rFonts w:asciiTheme="minorHAnsi" w:hAnsiTheme="minorHAnsi"/>
          <w:b/>
        </w:rPr>
        <w:t xml:space="preserve"> </w:t>
      </w:r>
    </w:p>
    <w:p w14:paraId="2A780C19" w14:textId="558B5D10" w:rsidR="00462D3F" w:rsidRPr="00025B81" w:rsidRDefault="00025B81" w:rsidP="0065544E">
      <w:pPr>
        <w:ind w:left="1197"/>
        <w:rPr>
          <w:rFonts w:asciiTheme="minorHAnsi" w:hAnsiTheme="minorHAnsi"/>
        </w:rPr>
      </w:pPr>
      <w:sdt>
        <w:sdtPr>
          <w:rPr>
            <w:rFonts w:asciiTheme="minorHAnsi" w:eastAsia="Arial" w:hAnsiTheme="minorHAnsi" w:cs="Arial"/>
          </w:rPr>
          <w:id w:val="-43659495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65544E" w:rsidRPr="00025B81">
        <w:rPr>
          <w:rFonts w:asciiTheme="minorHAnsi" w:eastAsia="Arial" w:hAnsiTheme="minorHAnsi" w:cs="Arial"/>
        </w:rPr>
        <w:t xml:space="preserve"> </w:t>
      </w:r>
      <w:r w:rsidR="0065544E" w:rsidRPr="00025B81">
        <w:rPr>
          <w:rFonts w:asciiTheme="minorHAnsi" w:eastAsia="Arial" w:hAnsiTheme="minorHAnsi" w:cs="Arial"/>
        </w:rPr>
        <w:tab/>
        <w:t>W</w:t>
      </w:r>
      <w:r w:rsidR="0065544E" w:rsidRPr="00025B81">
        <w:rPr>
          <w:rFonts w:asciiTheme="minorHAnsi" w:hAnsiTheme="minorHAnsi"/>
        </w:rPr>
        <w:t>aive payment of application fee to temporarily enroll a provider</w:t>
      </w:r>
    </w:p>
    <w:p w14:paraId="2D685DD2" w14:textId="77777777" w:rsidR="0065544E" w:rsidRPr="00025B81" w:rsidRDefault="0065544E" w:rsidP="0065544E">
      <w:pPr>
        <w:ind w:left="1197"/>
        <w:rPr>
          <w:rFonts w:asciiTheme="minorHAnsi" w:hAnsiTheme="minorHAnsi"/>
        </w:rPr>
      </w:pPr>
    </w:p>
    <w:p w14:paraId="085ABD1E" w14:textId="60D34CD7" w:rsidR="0065544E" w:rsidRPr="00025B81" w:rsidRDefault="00025B81" w:rsidP="0065544E">
      <w:pPr>
        <w:spacing w:after="200"/>
        <w:ind w:left="1197"/>
        <w:rPr>
          <w:rFonts w:asciiTheme="minorHAnsi" w:hAnsiTheme="minorHAnsi"/>
        </w:rPr>
      </w:pPr>
      <w:sdt>
        <w:sdtPr>
          <w:rPr>
            <w:rFonts w:asciiTheme="minorHAnsi" w:eastAsia="Arial" w:hAnsiTheme="minorHAnsi" w:cs="Arial"/>
          </w:rPr>
          <w:id w:val="-1009899214"/>
          <w14:checkbox>
            <w14:checked w14:val="0"/>
            <w14:checkedState w14:val="2612" w14:font="MS Gothic"/>
            <w14:uncheckedState w14:val="2610" w14:font="MS Gothic"/>
          </w14:checkbox>
        </w:sdtPr>
        <w:sdtContent>
          <w:r w:rsidRPr="00025B81">
            <w:rPr>
              <w:rFonts w:ascii="MS Gothic" w:eastAsia="MS Gothic" w:hAnsi="MS Gothic" w:cs="Arial" w:hint="eastAsia"/>
            </w:rPr>
            <w:t>☐</w:t>
          </w:r>
        </w:sdtContent>
      </w:sdt>
      <w:r w:rsidR="007416CC" w:rsidRPr="00025B81">
        <w:rPr>
          <w:rFonts w:asciiTheme="minorHAnsi" w:eastAsia="Arial" w:hAnsiTheme="minorHAnsi" w:cs="Arial"/>
        </w:rPr>
        <w:t xml:space="preserve"> </w:t>
      </w:r>
      <w:r w:rsidR="007416CC" w:rsidRPr="00025B81">
        <w:rPr>
          <w:rFonts w:asciiTheme="minorHAnsi" w:eastAsia="Arial" w:hAnsiTheme="minorHAnsi" w:cs="Arial"/>
        </w:rPr>
        <w:tab/>
      </w:r>
      <w:r w:rsidR="00C36058" w:rsidRPr="00025B81">
        <w:rPr>
          <w:rFonts w:asciiTheme="minorHAnsi" w:hAnsiTheme="minorHAnsi"/>
        </w:rPr>
        <w:t>W</w:t>
      </w:r>
      <w:r w:rsidR="007416CC" w:rsidRPr="00025B81">
        <w:rPr>
          <w:rFonts w:asciiTheme="minorHAnsi" w:hAnsiTheme="minorHAnsi"/>
        </w:rPr>
        <w:t xml:space="preserve">aive criminal background checks associated with temporarily enrolling providers </w:t>
      </w:r>
    </w:p>
    <w:p w14:paraId="6B5CFC92" w14:textId="2423CA73" w:rsidR="0065544E" w:rsidRPr="00025B81" w:rsidRDefault="00025B81" w:rsidP="0065544E">
      <w:pPr>
        <w:spacing w:after="200"/>
        <w:ind w:left="1197"/>
        <w:rPr>
          <w:rFonts w:asciiTheme="minorHAnsi" w:hAnsiTheme="minorHAnsi"/>
        </w:rPr>
      </w:pPr>
      <w:sdt>
        <w:sdtPr>
          <w:rPr>
            <w:rFonts w:asciiTheme="minorHAnsi" w:eastAsia="Arial" w:hAnsiTheme="minorHAnsi" w:cs="Arial"/>
          </w:rPr>
          <w:id w:val="709614385"/>
          <w14:checkbox>
            <w14:checked w14:val="0"/>
            <w14:checkedState w14:val="2612" w14:font="MS Gothic"/>
            <w14:uncheckedState w14:val="2610" w14:font="MS Gothic"/>
          </w14:checkbox>
        </w:sdtPr>
        <w:sdtContent>
          <w:r w:rsidRPr="00025B81">
            <w:rPr>
              <w:rFonts w:ascii="MS Gothic" w:eastAsia="MS Gothic" w:hAnsi="MS Gothic" w:cs="Arial" w:hint="eastAsia"/>
            </w:rPr>
            <w:t>☐</w:t>
          </w:r>
        </w:sdtContent>
      </w:sdt>
      <w:r w:rsidR="00C36058" w:rsidRPr="00025B81">
        <w:rPr>
          <w:rFonts w:asciiTheme="minorHAnsi" w:eastAsia="Arial" w:hAnsiTheme="minorHAnsi" w:cs="Arial"/>
        </w:rPr>
        <w:t xml:space="preserve"> </w:t>
      </w:r>
      <w:r w:rsidR="0065544E" w:rsidRPr="00025B81">
        <w:rPr>
          <w:rFonts w:asciiTheme="minorHAnsi" w:eastAsia="Arial" w:hAnsiTheme="minorHAnsi" w:cs="Arial"/>
        </w:rPr>
        <w:tab/>
      </w:r>
      <w:r w:rsidR="00C36058" w:rsidRPr="00025B81">
        <w:rPr>
          <w:rFonts w:asciiTheme="minorHAnsi" w:eastAsia="Arial" w:hAnsiTheme="minorHAnsi" w:cs="Arial"/>
        </w:rPr>
        <w:t>W</w:t>
      </w:r>
      <w:r w:rsidR="007416CC" w:rsidRPr="00025B81">
        <w:rPr>
          <w:rFonts w:asciiTheme="minorHAnsi" w:hAnsiTheme="minorHAnsi"/>
        </w:rPr>
        <w:t>aive site visits t</w:t>
      </w:r>
      <w:r w:rsidR="0065544E" w:rsidRPr="00025B81">
        <w:rPr>
          <w:rFonts w:asciiTheme="minorHAnsi" w:hAnsiTheme="minorHAnsi"/>
        </w:rPr>
        <w:t>o temporarily enroll a provider</w:t>
      </w:r>
    </w:p>
    <w:p w14:paraId="79FA5D94" w14:textId="2B85F65E" w:rsidR="0065544E" w:rsidRPr="0065544E" w:rsidRDefault="00025B81" w:rsidP="0065544E">
      <w:pPr>
        <w:spacing w:after="200"/>
        <w:ind w:left="1197"/>
        <w:rPr>
          <w:rFonts w:asciiTheme="minorHAnsi" w:hAnsiTheme="minorHAnsi"/>
        </w:rPr>
      </w:pPr>
      <w:sdt>
        <w:sdtPr>
          <w:rPr>
            <w:rFonts w:asciiTheme="minorHAnsi" w:eastAsia="Arial" w:hAnsiTheme="minorHAnsi" w:cs="Arial"/>
          </w:rPr>
          <w:id w:val="1204745678"/>
          <w14:checkbox>
            <w14:checked w14:val="0"/>
            <w14:checkedState w14:val="2612" w14:font="MS Gothic"/>
            <w14:uncheckedState w14:val="2610" w14:font="MS Gothic"/>
          </w14:checkbox>
        </w:sdtPr>
        <w:sdtContent>
          <w:r w:rsidRPr="00025B81">
            <w:rPr>
              <w:rFonts w:ascii="MS Gothic" w:eastAsia="MS Gothic" w:hAnsi="MS Gothic" w:cs="Arial" w:hint="eastAsia"/>
            </w:rPr>
            <w:t>☐</w:t>
          </w:r>
        </w:sdtContent>
      </w:sdt>
      <w:r w:rsidR="007416CC" w:rsidRPr="00EE697B">
        <w:rPr>
          <w:rFonts w:asciiTheme="minorHAnsi" w:eastAsia="Arial" w:hAnsiTheme="minorHAnsi" w:cs="Arial"/>
          <w:sz w:val="36"/>
          <w:szCs w:val="36"/>
        </w:rPr>
        <w:t xml:space="preserve"> </w:t>
      </w:r>
      <w:r w:rsidR="0065544E" w:rsidRPr="0065544E">
        <w:rPr>
          <w:rFonts w:asciiTheme="minorHAnsi" w:eastAsia="Arial" w:hAnsiTheme="minorHAnsi" w:cs="Arial"/>
        </w:rPr>
        <w:tab/>
      </w:r>
      <w:r w:rsidR="007416CC" w:rsidRPr="0065544E">
        <w:rPr>
          <w:rFonts w:asciiTheme="minorHAnsi" w:hAnsiTheme="minorHAnsi"/>
        </w:rPr>
        <w:t xml:space="preserve">Permit providers located out-of-state/territory to provide care to an emergency State’s Medicaid enrollee </w:t>
      </w:r>
      <w:r w:rsidR="004F3D8A">
        <w:rPr>
          <w:rFonts w:asciiTheme="minorHAnsi" w:hAnsiTheme="minorHAnsi"/>
        </w:rPr>
        <w:t>and be reimbursed for that service</w:t>
      </w:r>
    </w:p>
    <w:p w14:paraId="295EA9C7" w14:textId="70391C1B" w:rsidR="00462D3F" w:rsidRDefault="00025B81" w:rsidP="0065544E">
      <w:pPr>
        <w:ind w:left="1197"/>
        <w:rPr>
          <w:rFonts w:asciiTheme="minorHAnsi" w:hAnsiTheme="minorHAnsi"/>
        </w:rPr>
      </w:pPr>
      <w:sdt>
        <w:sdtPr>
          <w:rPr>
            <w:rFonts w:asciiTheme="minorHAnsi" w:eastAsia="Arial" w:hAnsiTheme="minorHAnsi" w:cs="Arial"/>
          </w:rPr>
          <w:id w:val="20823246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65544E" w:rsidRPr="0065544E">
        <w:rPr>
          <w:rFonts w:asciiTheme="minorHAnsi" w:eastAsia="Arial" w:hAnsiTheme="minorHAnsi" w:cs="Arial"/>
        </w:rPr>
        <w:tab/>
      </w:r>
      <w:r w:rsidR="007416CC" w:rsidRPr="0065544E">
        <w:rPr>
          <w:rFonts w:asciiTheme="minorHAnsi" w:hAnsiTheme="minorHAnsi"/>
        </w:rPr>
        <w:t xml:space="preserve">Streamline provider enrollment requirements when enrolling providers </w:t>
      </w:r>
    </w:p>
    <w:p w14:paraId="4C2A85D1" w14:textId="77777777" w:rsidR="0065544E" w:rsidRPr="0065544E" w:rsidRDefault="0065544E" w:rsidP="0065544E">
      <w:pPr>
        <w:ind w:left="1197"/>
        <w:rPr>
          <w:rFonts w:asciiTheme="minorHAnsi" w:hAnsiTheme="minorHAnsi"/>
        </w:rPr>
      </w:pPr>
    </w:p>
    <w:p w14:paraId="2FA400F3" w14:textId="05EAF909" w:rsidR="00462D3F" w:rsidRPr="0065544E" w:rsidRDefault="00025B81">
      <w:pPr>
        <w:spacing w:after="198"/>
        <w:ind w:left="1197"/>
        <w:rPr>
          <w:rFonts w:asciiTheme="minorHAnsi" w:hAnsiTheme="minorHAnsi"/>
        </w:rPr>
      </w:pPr>
      <w:sdt>
        <w:sdtPr>
          <w:rPr>
            <w:rFonts w:asciiTheme="minorHAnsi" w:eastAsia="Arial" w:hAnsiTheme="minorHAnsi" w:cs="Arial"/>
          </w:rPr>
          <w:id w:val="-74841679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7416CC" w:rsidRPr="0065544E">
        <w:rPr>
          <w:rFonts w:asciiTheme="minorHAnsi" w:eastAsia="Arial" w:hAnsiTheme="minorHAnsi" w:cs="Arial"/>
        </w:rPr>
        <w:t xml:space="preserve"> </w:t>
      </w:r>
      <w:r w:rsidR="007416CC" w:rsidRPr="0065544E">
        <w:rPr>
          <w:rFonts w:asciiTheme="minorHAnsi" w:eastAsia="Arial" w:hAnsiTheme="minorHAnsi" w:cs="Arial"/>
        </w:rPr>
        <w:tab/>
      </w:r>
      <w:r w:rsidR="0075088F" w:rsidRPr="0065544E">
        <w:rPr>
          <w:rFonts w:asciiTheme="minorHAnsi" w:hAnsiTheme="minorHAnsi"/>
        </w:rPr>
        <w:t>Postpone deadlines for</w:t>
      </w:r>
      <w:r w:rsidR="007416CC" w:rsidRPr="0065544E">
        <w:rPr>
          <w:rFonts w:asciiTheme="minorHAnsi" w:hAnsiTheme="minorHAnsi"/>
        </w:rPr>
        <w:t xml:space="preserve"> revalidation of providers who are located in the state or otherwise directly impacted by the emergency </w:t>
      </w:r>
    </w:p>
    <w:p w14:paraId="41C532F5" w14:textId="76EDF92C" w:rsidR="00462D3F" w:rsidRPr="00025B81" w:rsidRDefault="00025B81">
      <w:pPr>
        <w:spacing w:after="202"/>
        <w:ind w:left="1197"/>
        <w:rPr>
          <w:rFonts w:asciiTheme="minorHAnsi" w:hAnsiTheme="minorHAnsi"/>
        </w:rPr>
      </w:pPr>
      <w:sdt>
        <w:sdtPr>
          <w:rPr>
            <w:rFonts w:asciiTheme="minorHAnsi" w:eastAsia="Arial" w:hAnsiTheme="minorHAnsi" w:cs="Arial"/>
          </w:rPr>
          <w:id w:val="-6222266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7416CC" w:rsidRPr="0065544E">
        <w:rPr>
          <w:rFonts w:asciiTheme="minorHAnsi" w:eastAsia="Arial" w:hAnsiTheme="minorHAnsi" w:cs="Arial"/>
        </w:rPr>
        <w:t xml:space="preserve"> </w:t>
      </w:r>
      <w:r w:rsidR="007416CC" w:rsidRPr="0065544E">
        <w:rPr>
          <w:rFonts w:asciiTheme="minorHAnsi" w:eastAsia="Arial" w:hAnsiTheme="minorHAnsi" w:cs="Arial"/>
        </w:rPr>
        <w:tab/>
      </w:r>
      <w:r w:rsidR="00C36058" w:rsidRPr="0065544E">
        <w:rPr>
          <w:rFonts w:asciiTheme="minorHAnsi" w:hAnsiTheme="minorHAnsi"/>
        </w:rPr>
        <w:t>W</w:t>
      </w:r>
      <w:r w:rsidR="007416CC" w:rsidRPr="0065544E">
        <w:rPr>
          <w:rFonts w:asciiTheme="minorHAnsi" w:hAnsiTheme="minorHAnsi"/>
        </w:rPr>
        <w:t xml:space="preserve">aive requirements that physicians and other health care professionals be licensed in the state in which they are providing services, so long as they have equivalent licensing in another </w:t>
      </w:r>
      <w:r w:rsidR="007416CC" w:rsidRPr="00025B81">
        <w:rPr>
          <w:rFonts w:asciiTheme="minorHAnsi" w:hAnsiTheme="minorHAnsi"/>
        </w:rPr>
        <w:t xml:space="preserve">state </w:t>
      </w:r>
    </w:p>
    <w:p w14:paraId="4540C230" w14:textId="64517C17" w:rsidR="00462D3F" w:rsidRPr="0065544E" w:rsidRDefault="00025B81">
      <w:pPr>
        <w:ind w:left="1197"/>
        <w:rPr>
          <w:rFonts w:asciiTheme="minorHAnsi" w:hAnsiTheme="minorHAnsi"/>
        </w:rPr>
      </w:pPr>
      <w:sdt>
        <w:sdtPr>
          <w:rPr>
            <w:rFonts w:asciiTheme="minorHAnsi" w:eastAsia="Arial" w:hAnsiTheme="minorHAnsi" w:cs="Arial"/>
          </w:rPr>
          <w:id w:val="-712268734"/>
          <w14:checkbox>
            <w14:checked w14:val="0"/>
            <w14:checkedState w14:val="2612" w14:font="MS Gothic"/>
            <w14:uncheckedState w14:val="2610" w14:font="MS Gothic"/>
          </w14:checkbox>
        </w:sdtPr>
        <w:sdtContent>
          <w:r w:rsidRPr="00025B81">
            <w:rPr>
              <w:rFonts w:ascii="MS Gothic" w:eastAsia="MS Gothic" w:hAnsi="MS Gothic" w:cs="Arial" w:hint="eastAsia"/>
            </w:rPr>
            <w:t>☐</w:t>
          </w:r>
        </w:sdtContent>
      </w:sdt>
      <w:r w:rsidR="007416CC" w:rsidRPr="00EE697B">
        <w:rPr>
          <w:rFonts w:asciiTheme="minorHAnsi" w:eastAsia="Arial" w:hAnsiTheme="minorHAnsi" w:cs="Arial"/>
          <w:sz w:val="36"/>
          <w:szCs w:val="36"/>
        </w:rPr>
        <w:t xml:space="preserve"> </w:t>
      </w:r>
      <w:r w:rsidR="007416CC" w:rsidRPr="0065544E">
        <w:rPr>
          <w:rFonts w:asciiTheme="minorHAnsi" w:eastAsia="Arial" w:hAnsiTheme="minorHAnsi" w:cs="Arial"/>
        </w:rPr>
        <w:tab/>
      </w:r>
      <w:r w:rsidR="0075088F" w:rsidRPr="0065544E">
        <w:rPr>
          <w:rFonts w:asciiTheme="minorHAnsi" w:hAnsiTheme="minorHAnsi"/>
        </w:rPr>
        <w:t>Waive conditions of participation or conditions for coverage for existing providers</w:t>
      </w:r>
      <w:r w:rsidR="00A04DF0" w:rsidRPr="0065544E">
        <w:rPr>
          <w:rFonts w:asciiTheme="minorHAnsi" w:hAnsiTheme="minorHAnsi"/>
        </w:rPr>
        <w:t xml:space="preserve"> </w:t>
      </w:r>
      <w:proofErr w:type="gramStart"/>
      <w:r w:rsidR="00A04DF0" w:rsidRPr="0065544E">
        <w:rPr>
          <w:rFonts w:asciiTheme="minorHAnsi" w:hAnsiTheme="minorHAnsi"/>
        </w:rPr>
        <w:t>for</w:t>
      </w:r>
      <w:r w:rsidR="0075088F" w:rsidRPr="0065544E">
        <w:rPr>
          <w:rFonts w:asciiTheme="minorHAnsi" w:hAnsiTheme="minorHAnsi"/>
        </w:rPr>
        <w:t xml:space="preserve"> </w:t>
      </w:r>
      <w:r w:rsidR="007416CC" w:rsidRPr="0065544E">
        <w:rPr>
          <w:rFonts w:asciiTheme="minorHAnsi" w:hAnsiTheme="minorHAnsi"/>
        </w:rPr>
        <w:t xml:space="preserve"> facilities</w:t>
      </w:r>
      <w:proofErr w:type="gramEnd"/>
      <w:r w:rsidR="007416CC" w:rsidRPr="0065544E">
        <w:rPr>
          <w:rFonts w:asciiTheme="minorHAnsi" w:hAnsiTheme="minorHAnsi"/>
        </w:rPr>
        <w:t xml:space="preserve"> for providing services in alternative settings, including </w:t>
      </w:r>
      <w:r w:rsidR="0075088F" w:rsidRPr="0065544E">
        <w:rPr>
          <w:rFonts w:asciiTheme="minorHAnsi" w:hAnsiTheme="minorHAnsi"/>
        </w:rPr>
        <w:t xml:space="preserve">using an </w:t>
      </w:r>
      <w:r w:rsidR="007416CC" w:rsidRPr="0065544E">
        <w:rPr>
          <w:rFonts w:asciiTheme="minorHAnsi" w:hAnsiTheme="minorHAnsi"/>
        </w:rPr>
        <w:t xml:space="preserve">unlicensed facility, if the provider’s licensed facility has been evacuated </w:t>
      </w:r>
    </w:p>
    <w:p w14:paraId="60667577" w14:textId="35B701BE" w:rsidR="00462D3F" w:rsidRDefault="007416CC">
      <w:pPr>
        <w:spacing w:after="0" w:line="259" w:lineRule="auto"/>
        <w:ind w:left="0" w:firstLine="0"/>
        <w:rPr>
          <w:rFonts w:asciiTheme="minorHAnsi" w:hAnsiTheme="minorHAnsi"/>
        </w:rPr>
      </w:pPr>
      <w:r w:rsidRPr="0065544E">
        <w:rPr>
          <w:rFonts w:asciiTheme="minorHAnsi" w:hAnsiTheme="minorHAnsi"/>
        </w:rPr>
        <w:t xml:space="preserve"> </w:t>
      </w:r>
    </w:p>
    <w:p w14:paraId="48CA94E8" w14:textId="77777777" w:rsidR="006D551F" w:rsidRPr="0065544E" w:rsidRDefault="006D551F">
      <w:pPr>
        <w:spacing w:after="0" w:line="259" w:lineRule="auto"/>
        <w:ind w:left="0" w:firstLine="0"/>
        <w:rPr>
          <w:rFonts w:asciiTheme="minorHAnsi" w:hAnsiTheme="minorHAnsi"/>
        </w:rPr>
      </w:pPr>
    </w:p>
    <w:p w14:paraId="55B541C0" w14:textId="77777777" w:rsidR="00462D3F" w:rsidRPr="0065544E" w:rsidRDefault="007416CC">
      <w:pPr>
        <w:numPr>
          <w:ilvl w:val="0"/>
          <w:numId w:val="2"/>
        </w:numPr>
        <w:spacing w:after="3" w:line="259" w:lineRule="auto"/>
        <w:ind w:left="463" w:hanging="360"/>
        <w:rPr>
          <w:rFonts w:asciiTheme="minorHAnsi" w:hAnsiTheme="minorHAnsi"/>
        </w:rPr>
      </w:pPr>
      <w:r w:rsidRPr="0065544E">
        <w:rPr>
          <w:rFonts w:asciiTheme="minorHAnsi" w:hAnsiTheme="minorHAnsi"/>
          <w:b/>
        </w:rPr>
        <w:t xml:space="preserve">Reporting and Oversight </w:t>
      </w:r>
    </w:p>
    <w:p w14:paraId="25A855B1" w14:textId="77777777" w:rsidR="00462D3F" w:rsidRPr="00025B81" w:rsidRDefault="007416CC">
      <w:pPr>
        <w:spacing w:after="70" w:line="259" w:lineRule="auto"/>
        <w:ind w:left="2" w:firstLine="0"/>
        <w:rPr>
          <w:rFonts w:asciiTheme="minorHAnsi" w:hAnsiTheme="minorHAnsi"/>
        </w:rPr>
      </w:pPr>
      <w:r w:rsidRPr="0065544E">
        <w:rPr>
          <w:rFonts w:asciiTheme="minorHAnsi" w:hAnsiTheme="minorHAnsi"/>
          <w:b/>
        </w:rPr>
        <w:t xml:space="preserve"> </w:t>
      </w:r>
    </w:p>
    <w:p w14:paraId="45EC3334" w14:textId="16A2C79A" w:rsidR="00462D3F" w:rsidRPr="0065544E" w:rsidRDefault="007416CC">
      <w:pPr>
        <w:tabs>
          <w:tab w:val="center" w:pos="555"/>
          <w:tab w:val="center" w:pos="5129"/>
        </w:tabs>
        <w:spacing w:after="174" w:line="259" w:lineRule="auto"/>
        <w:ind w:left="0" w:firstLine="0"/>
        <w:rPr>
          <w:rFonts w:asciiTheme="minorHAnsi" w:hAnsiTheme="minorHAnsi"/>
        </w:rPr>
      </w:pPr>
      <w:r w:rsidRPr="00025B81">
        <w:rPr>
          <w:rFonts w:asciiTheme="minorHAnsi" w:hAnsiTheme="minorHAnsi"/>
        </w:rPr>
        <w:tab/>
      </w:r>
      <w:sdt>
        <w:sdtPr>
          <w:rPr>
            <w:rFonts w:asciiTheme="minorHAnsi" w:hAnsiTheme="minorHAnsi"/>
          </w:rPr>
          <w:id w:val="-784577655"/>
          <w14:checkbox>
            <w14:checked w14:val="0"/>
            <w14:checkedState w14:val="2612" w14:font="MS Gothic"/>
            <w14:uncheckedState w14:val="2610" w14:font="MS Gothic"/>
          </w14:checkbox>
        </w:sdtPr>
        <w:sdtContent>
          <w:r w:rsidR="00025B81" w:rsidRPr="00025B81">
            <w:rPr>
              <w:rFonts w:ascii="MS Gothic" w:eastAsia="MS Gothic" w:hAnsi="MS Gothic" w:hint="eastAsia"/>
            </w:rPr>
            <w:t>☐</w:t>
          </w:r>
        </w:sdtContent>
      </w:sdt>
      <w:r w:rsidRPr="0065544E">
        <w:rPr>
          <w:rFonts w:asciiTheme="minorHAnsi" w:eastAsia="Arial" w:hAnsiTheme="minorHAnsi" w:cs="Arial"/>
        </w:rPr>
        <w:t xml:space="preserve"> </w:t>
      </w:r>
      <w:r w:rsidRPr="0065544E">
        <w:rPr>
          <w:rFonts w:asciiTheme="minorHAnsi" w:eastAsia="Arial" w:hAnsiTheme="minorHAnsi" w:cs="Arial"/>
        </w:rPr>
        <w:tab/>
      </w:r>
      <w:r w:rsidRPr="0065544E">
        <w:rPr>
          <w:rFonts w:asciiTheme="minorHAnsi" w:hAnsiTheme="minorHAnsi"/>
        </w:rPr>
        <w:t xml:space="preserve">Modify deadlines for OASIS and Minimum Data Set (MDS) assessments and transmission </w:t>
      </w:r>
    </w:p>
    <w:p w14:paraId="11752BCF" w14:textId="118ABCD3" w:rsidR="00462D3F" w:rsidRPr="00025B81" w:rsidRDefault="00025B81">
      <w:pPr>
        <w:spacing w:after="218"/>
        <w:ind w:left="1197" w:right="374"/>
        <w:rPr>
          <w:rFonts w:asciiTheme="minorHAnsi" w:hAnsiTheme="minorHAnsi"/>
        </w:rPr>
      </w:pPr>
      <w:sdt>
        <w:sdtPr>
          <w:rPr>
            <w:rFonts w:asciiTheme="minorHAnsi" w:eastAsia="Arial" w:hAnsiTheme="minorHAnsi" w:cs="Arial"/>
          </w:rPr>
          <w:id w:val="183988124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7416CC" w:rsidRPr="0065544E">
        <w:rPr>
          <w:rFonts w:asciiTheme="minorHAnsi" w:eastAsia="Arial" w:hAnsiTheme="minorHAnsi" w:cs="Arial"/>
        </w:rPr>
        <w:tab/>
      </w:r>
      <w:r w:rsidR="00C36058" w:rsidRPr="0065544E">
        <w:rPr>
          <w:rFonts w:asciiTheme="minorHAnsi" w:hAnsiTheme="minorHAnsi"/>
        </w:rPr>
        <w:t>S</w:t>
      </w:r>
      <w:r w:rsidR="007416CC" w:rsidRPr="0065544E">
        <w:rPr>
          <w:rFonts w:asciiTheme="minorHAnsi" w:hAnsiTheme="minorHAnsi"/>
        </w:rPr>
        <w:t xml:space="preserve">uspend 2-week aide supervision requirement by a registered nurse for home health </w:t>
      </w:r>
      <w:r w:rsidR="007416CC" w:rsidRPr="00025B81">
        <w:rPr>
          <w:rFonts w:asciiTheme="minorHAnsi" w:hAnsiTheme="minorHAnsi"/>
        </w:rPr>
        <w:t xml:space="preserve">agencies </w:t>
      </w:r>
    </w:p>
    <w:p w14:paraId="571E567A" w14:textId="6876E72B" w:rsidR="00462D3F" w:rsidRPr="0065544E" w:rsidRDefault="00025B81">
      <w:pPr>
        <w:ind w:left="1197"/>
        <w:rPr>
          <w:rFonts w:asciiTheme="minorHAnsi" w:hAnsiTheme="minorHAnsi"/>
        </w:rPr>
      </w:pPr>
      <w:sdt>
        <w:sdtPr>
          <w:rPr>
            <w:rFonts w:asciiTheme="minorHAnsi" w:eastAsia="Arial" w:hAnsiTheme="minorHAnsi" w:cs="Arial"/>
          </w:rPr>
          <w:id w:val="853071351"/>
          <w14:checkbox>
            <w14:checked w14:val="0"/>
            <w14:checkedState w14:val="2612" w14:font="MS Gothic"/>
            <w14:uncheckedState w14:val="2610" w14:font="MS Gothic"/>
          </w14:checkbox>
        </w:sdtPr>
        <w:sdtContent>
          <w:r w:rsidRPr="00025B81">
            <w:rPr>
              <w:rFonts w:ascii="MS Gothic" w:eastAsia="MS Gothic" w:hAnsi="MS Gothic" w:cs="Arial" w:hint="eastAsia"/>
            </w:rPr>
            <w:t>☐</w:t>
          </w:r>
        </w:sdtContent>
      </w:sdt>
      <w:r w:rsidR="007416CC" w:rsidRPr="00EE697B">
        <w:rPr>
          <w:rFonts w:asciiTheme="minorHAnsi" w:eastAsia="Arial" w:hAnsiTheme="minorHAnsi" w:cs="Arial"/>
          <w:sz w:val="32"/>
          <w:szCs w:val="32"/>
        </w:rPr>
        <w:t xml:space="preserve"> </w:t>
      </w:r>
      <w:r w:rsidR="007416CC" w:rsidRPr="0065544E">
        <w:rPr>
          <w:rFonts w:asciiTheme="minorHAnsi" w:eastAsia="Arial" w:hAnsiTheme="minorHAnsi" w:cs="Arial"/>
        </w:rPr>
        <w:tab/>
      </w:r>
      <w:r w:rsidR="00C36058" w:rsidRPr="0065544E">
        <w:rPr>
          <w:rFonts w:asciiTheme="minorHAnsi" w:hAnsiTheme="minorHAnsi"/>
        </w:rPr>
        <w:t>S</w:t>
      </w:r>
      <w:r w:rsidR="007416CC" w:rsidRPr="0065544E">
        <w:rPr>
          <w:rFonts w:asciiTheme="minorHAnsi" w:hAnsiTheme="minorHAnsi"/>
        </w:rPr>
        <w:t xml:space="preserve">uspend supervision of hospice aides by a registered nurse every 14 days’ requirement for hospice agencies </w:t>
      </w:r>
    </w:p>
    <w:p w14:paraId="0A0E7E75" w14:textId="5DFD830B" w:rsidR="00462D3F" w:rsidRPr="0065544E" w:rsidRDefault="007416CC">
      <w:pPr>
        <w:spacing w:after="0" w:line="259" w:lineRule="auto"/>
        <w:ind w:left="2" w:firstLine="0"/>
        <w:rPr>
          <w:rFonts w:asciiTheme="minorHAnsi" w:hAnsiTheme="minorHAnsi"/>
        </w:rPr>
      </w:pPr>
      <w:r w:rsidRPr="0065544E">
        <w:rPr>
          <w:rFonts w:asciiTheme="minorHAnsi" w:hAnsiTheme="minorHAnsi"/>
        </w:rPr>
        <w:t xml:space="preserve"> </w:t>
      </w:r>
    </w:p>
    <w:p w14:paraId="691616BC" w14:textId="7F1838EB" w:rsidR="004F3D8A" w:rsidRDefault="007416CC">
      <w:pPr>
        <w:spacing w:after="45" w:line="259" w:lineRule="auto"/>
        <w:ind w:left="2" w:firstLine="0"/>
        <w:rPr>
          <w:rFonts w:asciiTheme="minorHAnsi" w:hAnsiTheme="minorHAnsi"/>
        </w:rPr>
      </w:pPr>
      <w:r w:rsidRPr="0065544E">
        <w:rPr>
          <w:rFonts w:asciiTheme="minorHAnsi" w:hAnsiTheme="minorHAnsi"/>
        </w:rPr>
        <w:t xml:space="preserve"> </w:t>
      </w:r>
    </w:p>
    <w:p w14:paraId="5F4C84A2" w14:textId="77777777" w:rsidR="004F3D8A" w:rsidRDefault="004F3D8A">
      <w:pPr>
        <w:spacing w:after="160" w:line="259" w:lineRule="auto"/>
        <w:ind w:left="0" w:firstLine="0"/>
        <w:rPr>
          <w:rFonts w:asciiTheme="minorHAnsi" w:hAnsiTheme="minorHAnsi"/>
        </w:rPr>
      </w:pPr>
      <w:bookmarkStart w:id="0" w:name="_GoBack"/>
      <w:bookmarkEnd w:id="0"/>
      <w:r>
        <w:rPr>
          <w:rFonts w:asciiTheme="minorHAnsi" w:hAnsiTheme="minorHAnsi"/>
        </w:rPr>
        <w:br w:type="page"/>
      </w:r>
    </w:p>
    <w:p w14:paraId="0F730809" w14:textId="52944D37" w:rsidR="00462D3F" w:rsidRPr="0065544E" w:rsidRDefault="007416CC">
      <w:pPr>
        <w:numPr>
          <w:ilvl w:val="0"/>
          <w:numId w:val="2"/>
        </w:numPr>
        <w:ind w:left="463" w:hanging="360"/>
        <w:rPr>
          <w:rFonts w:asciiTheme="minorHAnsi" w:hAnsiTheme="minorHAnsi"/>
        </w:rPr>
      </w:pPr>
      <w:r w:rsidRPr="0065544E">
        <w:rPr>
          <w:rFonts w:asciiTheme="minorHAnsi" w:hAnsiTheme="minorHAnsi"/>
          <w:b/>
        </w:rPr>
        <w:lastRenderedPageBreak/>
        <w:t xml:space="preserve">Other Section 1135 Waiver Flexibilities. </w:t>
      </w:r>
      <w:r w:rsidRPr="0065544E">
        <w:rPr>
          <w:rFonts w:asciiTheme="minorHAnsi" w:hAnsiTheme="minorHAnsi"/>
        </w:rPr>
        <w:t xml:space="preserve">Please include any additional flexibilities that the state/territory is requesting under the Section 1135 waiver authority: </w:t>
      </w:r>
    </w:p>
    <w:sectPr w:rsidR="00462D3F" w:rsidRPr="0065544E">
      <w:footerReference w:type="even" r:id="rId7"/>
      <w:footerReference w:type="default" r:id="rId8"/>
      <w:footerReference w:type="first" r:id="rId9"/>
      <w:pgSz w:w="12240" w:h="15840"/>
      <w:pgMar w:top="1194" w:right="1312" w:bottom="1234" w:left="1294" w:header="720" w:footer="6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85CF1" w14:textId="77777777" w:rsidR="0074148F" w:rsidRDefault="0074148F">
      <w:pPr>
        <w:spacing w:after="0" w:line="240" w:lineRule="auto"/>
      </w:pPr>
      <w:r>
        <w:separator/>
      </w:r>
    </w:p>
  </w:endnote>
  <w:endnote w:type="continuationSeparator" w:id="0">
    <w:p w14:paraId="2198DF0E" w14:textId="77777777" w:rsidR="0074148F" w:rsidRDefault="0074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AB90B" w14:textId="77777777" w:rsidR="00462D3F" w:rsidRDefault="007416CC">
    <w:pPr>
      <w:spacing w:after="23" w:line="259" w:lineRule="auto"/>
      <w:ind w:left="20" w:firstLine="0"/>
      <w:jc w:val="center"/>
    </w:pPr>
    <w:r>
      <w:fldChar w:fldCharType="begin"/>
    </w:r>
    <w:r>
      <w:instrText xml:space="preserve"> PAGE   \* MERGEFORMAT </w:instrText>
    </w:r>
    <w:r>
      <w:fldChar w:fldCharType="separate"/>
    </w:r>
    <w:r>
      <w:t>1</w:t>
    </w:r>
    <w:r>
      <w:fldChar w:fldCharType="end"/>
    </w:r>
    <w:r>
      <w:t xml:space="preserve"> </w:t>
    </w:r>
  </w:p>
  <w:p w14:paraId="6709AFAA" w14:textId="77777777" w:rsidR="00462D3F" w:rsidRDefault="007416CC">
    <w:pPr>
      <w:spacing w:after="0" w:line="259" w:lineRule="auto"/>
      <w:ind w:left="2" w:firstLine="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4FC71" w14:textId="59E398E7" w:rsidR="00462D3F" w:rsidRDefault="007416CC">
    <w:pPr>
      <w:spacing w:after="23" w:line="259" w:lineRule="auto"/>
      <w:ind w:left="20" w:firstLine="0"/>
      <w:jc w:val="center"/>
    </w:pPr>
    <w:r>
      <w:fldChar w:fldCharType="begin"/>
    </w:r>
    <w:r>
      <w:instrText xml:space="preserve"> PAGE   \* MERGEFORMAT </w:instrText>
    </w:r>
    <w:r>
      <w:fldChar w:fldCharType="separate"/>
    </w:r>
    <w:r w:rsidR="00025B81">
      <w:rPr>
        <w:noProof/>
      </w:rPr>
      <w:t>4</w:t>
    </w:r>
    <w:r>
      <w:fldChar w:fldCharType="end"/>
    </w:r>
    <w:r>
      <w:t xml:space="preserve"> </w:t>
    </w:r>
  </w:p>
  <w:p w14:paraId="1F7555CB" w14:textId="77777777" w:rsidR="00462D3F" w:rsidRDefault="007416CC">
    <w:pPr>
      <w:spacing w:after="0" w:line="259" w:lineRule="auto"/>
      <w:ind w:left="2" w:firstLine="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97E94" w14:textId="77777777" w:rsidR="00462D3F" w:rsidRDefault="007416CC">
    <w:pPr>
      <w:spacing w:after="23" w:line="259" w:lineRule="auto"/>
      <w:ind w:left="20" w:firstLine="0"/>
      <w:jc w:val="center"/>
    </w:pPr>
    <w:r>
      <w:fldChar w:fldCharType="begin"/>
    </w:r>
    <w:r>
      <w:instrText xml:space="preserve"> PAGE   \* MERGEFORMAT </w:instrText>
    </w:r>
    <w:r>
      <w:fldChar w:fldCharType="separate"/>
    </w:r>
    <w:r>
      <w:t>1</w:t>
    </w:r>
    <w:r>
      <w:fldChar w:fldCharType="end"/>
    </w:r>
    <w:r>
      <w:t xml:space="preserve"> </w:t>
    </w:r>
  </w:p>
  <w:p w14:paraId="6D49C68F" w14:textId="77777777" w:rsidR="00462D3F" w:rsidRDefault="007416CC">
    <w:pPr>
      <w:spacing w:after="0" w:line="259" w:lineRule="auto"/>
      <w:ind w:left="2" w:firstLine="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70AA" w14:textId="77777777" w:rsidR="0074148F" w:rsidRDefault="0074148F">
      <w:pPr>
        <w:spacing w:after="0" w:line="240" w:lineRule="auto"/>
      </w:pPr>
      <w:r>
        <w:separator/>
      </w:r>
    </w:p>
  </w:footnote>
  <w:footnote w:type="continuationSeparator" w:id="0">
    <w:p w14:paraId="607E92F2" w14:textId="77777777" w:rsidR="0074148F" w:rsidRDefault="00741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D0C78"/>
    <w:multiLevelType w:val="hybridMultilevel"/>
    <w:tmpl w:val="29D2C2B4"/>
    <w:lvl w:ilvl="0" w:tplc="2F2C18F0">
      <w:start w:val="5"/>
      <w:numFmt w:val="decimal"/>
      <w:lvlText w:val="%1)"/>
      <w:lvlJc w:val="left"/>
      <w:pPr>
        <w:ind w:left="4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696880C">
      <w:start w:val="1"/>
      <w:numFmt w:val="lowerLetter"/>
      <w:lvlText w:val="%2"/>
      <w:lvlJc w:val="left"/>
      <w:pPr>
        <w:ind w:left="11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C7A96F4">
      <w:start w:val="1"/>
      <w:numFmt w:val="lowerRoman"/>
      <w:lvlText w:val="%3"/>
      <w:lvlJc w:val="left"/>
      <w:pPr>
        <w:ind w:left="19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912F59C">
      <w:start w:val="1"/>
      <w:numFmt w:val="decimal"/>
      <w:lvlText w:val="%4"/>
      <w:lvlJc w:val="left"/>
      <w:pPr>
        <w:ind w:left="26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10A416">
      <w:start w:val="1"/>
      <w:numFmt w:val="lowerLetter"/>
      <w:lvlText w:val="%5"/>
      <w:lvlJc w:val="left"/>
      <w:pPr>
        <w:ind w:left="33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C580552">
      <w:start w:val="1"/>
      <w:numFmt w:val="lowerRoman"/>
      <w:lvlText w:val="%6"/>
      <w:lvlJc w:val="left"/>
      <w:pPr>
        <w:ind w:left="40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BDADC66">
      <w:start w:val="1"/>
      <w:numFmt w:val="decimal"/>
      <w:lvlText w:val="%7"/>
      <w:lvlJc w:val="left"/>
      <w:pPr>
        <w:ind w:left="47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9EEFCE2">
      <w:start w:val="1"/>
      <w:numFmt w:val="lowerLetter"/>
      <w:lvlText w:val="%8"/>
      <w:lvlJc w:val="left"/>
      <w:pPr>
        <w:ind w:left="55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93C5D26">
      <w:start w:val="1"/>
      <w:numFmt w:val="lowerRoman"/>
      <w:lvlText w:val="%9"/>
      <w:lvlJc w:val="left"/>
      <w:pPr>
        <w:ind w:left="6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FC0DE2"/>
    <w:multiLevelType w:val="hybridMultilevel"/>
    <w:tmpl w:val="95649E8E"/>
    <w:lvl w:ilvl="0" w:tplc="398E46A6">
      <w:start w:val="1"/>
      <w:numFmt w:val="decimal"/>
      <w:lvlText w:val="%1)"/>
      <w:lvlJc w:val="left"/>
      <w:pPr>
        <w:ind w:left="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AA6A8A8">
      <w:start w:val="1"/>
      <w:numFmt w:val="lowerLetter"/>
      <w:lvlText w:val="%2"/>
      <w:lvlJc w:val="left"/>
      <w:pPr>
        <w:ind w:left="1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A6B02C">
      <w:start w:val="1"/>
      <w:numFmt w:val="lowerRoman"/>
      <w:lvlText w:val="%3"/>
      <w:lvlJc w:val="left"/>
      <w:pPr>
        <w:ind w:left="1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92026FA">
      <w:start w:val="1"/>
      <w:numFmt w:val="decimal"/>
      <w:lvlText w:val="%4"/>
      <w:lvlJc w:val="left"/>
      <w:pPr>
        <w:ind w:left="2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8BA2822">
      <w:start w:val="1"/>
      <w:numFmt w:val="lowerLetter"/>
      <w:lvlText w:val="%5"/>
      <w:lvlJc w:val="left"/>
      <w:pPr>
        <w:ind w:left="33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5B28886">
      <w:start w:val="1"/>
      <w:numFmt w:val="lowerRoman"/>
      <w:lvlText w:val="%6"/>
      <w:lvlJc w:val="left"/>
      <w:pPr>
        <w:ind w:left="40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E76EB4C">
      <w:start w:val="1"/>
      <w:numFmt w:val="decimal"/>
      <w:lvlText w:val="%7"/>
      <w:lvlJc w:val="left"/>
      <w:pPr>
        <w:ind w:left="47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AEE49AA">
      <w:start w:val="1"/>
      <w:numFmt w:val="lowerLetter"/>
      <w:lvlText w:val="%8"/>
      <w:lvlJc w:val="left"/>
      <w:pPr>
        <w:ind w:left="54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776EEDC">
      <w:start w:val="1"/>
      <w:numFmt w:val="lowerRoman"/>
      <w:lvlText w:val="%9"/>
      <w:lvlJc w:val="left"/>
      <w:pPr>
        <w:ind w:left="62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3F"/>
    <w:rsid w:val="00001CA4"/>
    <w:rsid w:val="00025B81"/>
    <w:rsid w:val="00065B74"/>
    <w:rsid w:val="0008319B"/>
    <w:rsid w:val="000B75F6"/>
    <w:rsid w:val="000F60D9"/>
    <w:rsid w:val="00154C61"/>
    <w:rsid w:val="00195F13"/>
    <w:rsid w:val="001B258A"/>
    <w:rsid w:val="00235562"/>
    <w:rsid w:val="003751B8"/>
    <w:rsid w:val="003B72F2"/>
    <w:rsid w:val="003E0089"/>
    <w:rsid w:val="00462D3F"/>
    <w:rsid w:val="004B7E5B"/>
    <w:rsid w:val="004F3D8A"/>
    <w:rsid w:val="004F7DD7"/>
    <w:rsid w:val="005C3660"/>
    <w:rsid w:val="005E099F"/>
    <w:rsid w:val="005F1F94"/>
    <w:rsid w:val="00653845"/>
    <w:rsid w:val="0065544E"/>
    <w:rsid w:val="00664FAA"/>
    <w:rsid w:val="006D551F"/>
    <w:rsid w:val="006E3F54"/>
    <w:rsid w:val="00711628"/>
    <w:rsid w:val="0074148F"/>
    <w:rsid w:val="007416CC"/>
    <w:rsid w:val="0075088F"/>
    <w:rsid w:val="007C7DB2"/>
    <w:rsid w:val="007D16E7"/>
    <w:rsid w:val="00810A03"/>
    <w:rsid w:val="00815303"/>
    <w:rsid w:val="008A594D"/>
    <w:rsid w:val="00906CE1"/>
    <w:rsid w:val="00922CDA"/>
    <w:rsid w:val="00993D64"/>
    <w:rsid w:val="00A04DF0"/>
    <w:rsid w:val="00A37DBA"/>
    <w:rsid w:val="00AD289B"/>
    <w:rsid w:val="00B15962"/>
    <w:rsid w:val="00B22075"/>
    <w:rsid w:val="00BB78B5"/>
    <w:rsid w:val="00C36058"/>
    <w:rsid w:val="00C93A80"/>
    <w:rsid w:val="00CA7979"/>
    <w:rsid w:val="00CC3B67"/>
    <w:rsid w:val="00CE0EE2"/>
    <w:rsid w:val="00D33C24"/>
    <w:rsid w:val="00D64AB2"/>
    <w:rsid w:val="00E048A3"/>
    <w:rsid w:val="00E66BA9"/>
    <w:rsid w:val="00E66F16"/>
    <w:rsid w:val="00EE697B"/>
    <w:rsid w:val="00F22ACF"/>
    <w:rsid w:val="00F645B6"/>
    <w:rsid w:val="00F807F9"/>
    <w:rsid w:val="00FA5CCA"/>
    <w:rsid w:val="00FB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728F"/>
  <w15:docId w15:val="{9BE194BD-3A01-4FE9-926B-969E433C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732" w:hanging="73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16E7"/>
    <w:rPr>
      <w:sz w:val="16"/>
      <w:szCs w:val="16"/>
    </w:rPr>
  </w:style>
  <w:style w:type="paragraph" w:styleId="CommentText">
    <w:name w:val="annotation text"/>
    <w:basedOn w:val="Normal"/>
    <w:link w:val="CommentTextChar"/>
    <w:uiPriority w:val="99"/>
    <w:semiHidden/>
    <w:unhideWhenUsed/>
    <w:rsid w:val="007D16E7"/>
    <w:pPr>
      <w:spacing w:line="240" w:lineRule="auto"/>
    </w:pPr>
    <w:rPr>
      <w:sz w:val="20"/>
      <w:szCs w:val="20"/>
    </w:rPr>
  </w:style>
  <w:style w:type="character" w:customStyle="1" w:styleId="CommentTextChar">
    <w:name w:val="Comment Text Char"/>
    <w:basedOn w:val="DefaultParagraphFont"/>
    <w:link w:val="CommentText"/>
    <w:uiPriority w:val="99"/>
    <w:semiHidden/>
    <w:rsid w:val="007D16E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D16E7"/>
    <w:rPr>
      <w:b/>
      <w:bCs/>
    </w:rPr>
  </w:style>
  <w:style w:type="character" w:customStyle="1" w:styleId="CommentSubjectChar">
    <w:name w:val="Comment Subject Char"/>
    <w:basedOn w:val="CommentTextChar"/>
    <w:link w:val="CommentSubject"/>
    <w:uiPriority w:val="99"/>
    <w:semiHidden/>
    <w:rsid w:val="007D16E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D1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6E7"/>
    <w:rPr>
      <w:rFonts w:ascii="Segoe UI" w:eastAsia="Calibri" w:hAnsi="Segoe UI" w:cs="Segoe UI"/>
      <w:color w:val="000000"/>
      <w:sz w:val="18"/>
      <w:szCs w:val="18"/>
    </w:rPr>
  </w:style>
  <w:style w:type="paragraph" w:styleId="NormalWeb">
    <w:name w:val="Normal (Web)"/>
    <w:basedOn w:val="Normal"/>
    <w:uiPriority w:val="99"/>
    <w:unhideWhenUsed/>
    <w:rsid w:val="00FB53E2"/>
    <w:pPr>
      <w:spacing w:after="0" w:line="240" w:lineRule="auto"/>
      <w:ind w:left="0" w:firstLine="0"/>
    </w:pPr>
    <w:rPr>
      <w:rFonts w:ascii="Times New Roman" w:eastAsiaTheme="minorHAnsi" w:hAnsi="Times New Roman" w:cs="Times New Roman"/>
      <w:color w:val="auto"/>
      <w:sz w:val="24"/>
      <w:szCs w:val="24"/>
    </w:rPr>
  </w:style>
  <w:style w:type="character" w:styleId="PlaceholderText">
    <w:name w:val="Placeholder Text"/>
    <w:basedOn w:val="DefaultParagraphFont"/>
    <w:uiPriority w:val="99"/>
    <w:semiHidden/>
    <w:rsid w:val="00025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5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7C"/>
    <w:rsid w:val="00B143D5"/>
    <w:rsid w:val="00F8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3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dc:creator>
  <cp:keywords/>
  <cp:lastModifiedBy>Michelle Baldi</cp:lastModifiedBy>
  <cp:revision>5</cp:revision>
  <dcterms:created xsi:type="dcterms:W3CDTF">2020-03-20T16:42:00Z</dcterms:created>
  <dcterms:modified xsi:type="dcterms:W3CDTF">2020-03-23T15:34:00Z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